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5083FF">
      <w:pPr>
        <w:pStyle w:val="3"/>
        <w:widowControl/>
        <w:shd w:val="clear" w:color="auto" w:fill="FFFFFF"/>
        <w:spacing w:beforeAutospacing="0" w:afterAutospacing="0"/>
        <w:jc w:val="both"/>
        <w:rPr>
          <w:rFonts w:ascii="Times New Roman" w:hAnsi="Times New Roman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附件2</w:t>
      </w:r>
    </w:p>
    <w:p w14:paraId="74E4AF44">
      <w:pPr>
        <w:jc w:val="center"/>
        <w:rPr>
          <w:rFonts w:ascii="Times New Roman" w:hAnsi="Times New Roman" w:eastAsia="方正小标宋简体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简体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“读懂中国”活动作品评审参考标准</w:t>
      </w:r>
    </w:p>
    <w:p w14:paraId="0424B78C">
      <w:pPr>
        <w:spacing w:line="240" w:lineRule="exact"/>
        <w:rPr>
          <w:rFonts w:ascii="Times New Roman" w:hAnsi="Times New Roman" w:eastAsia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FA22272">
      <w:pPr>
        <w:rPr>
          <w:rFonts w:ascii="Times New Roman" w:hAnsi="Times New Roman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一、征文评审标准（总分100分）</w:t>
      </w: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4"/>
        <w:gridCol w:w="6379"/>
      </w:tblGrid>
      <w:tr w14:paraId="3F1867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3" w:hRule="atLeast"/>
          <w:jc w:val="center"/>
        </w:trPr>
        <w:tc>
          <w:tcPr>
            <w:tcW w:w="3214" w:type="dxa"/>
            <w:vAlign w:val="center"/>
          </w:tcPr>
          <w:p w14:paraId="5A1025D0">
            <w:pPr>
              <w:spacing w:line="440" w:lineRule="exact"/>
              <w:jc w:val="center"/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紧扣主题、立意明确（30分）</w:t>
            </w:r>
          </w:p>
        </w:tc>
        <w:tc>
          <w:tcPr>
            <w:tcW w:w="6379" w:type="dxa"/>
            <w:vAlign w:val="center"/>
          </w:tcPr>
          <w:p w14:paraId="38877175">
            <w:pPr>
              <w:spacing w:line="440" w:lineRule="exact"/>
              <w:rPr>
                <w:rFonts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记录、展</w:t>
            </w:r>
            <w:r>
              <w:rPr>
                <w:rFonts w:hint="eastAsia" w:ascii="仿宋_GB2312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示“五老”在推进强国建设、民族复兴伟业历史进程中，在从教育大国阔步迈向教育强国过程中的感人事迹、人生体验和所体现的改革创新精神和</w:t>
            </w:r>
            <w:r>
              <w:rPr>
                <w:rFonts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教育家精神，以及对青年学生积极投身强国建设的重托和建议。若偏题酌情扣分。</w:t>
            </w:r>
          </w:p>
        </w:tc>
      </w:tr>
      <w:tr w14:paraId="245CF6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3214" w:type="dxa"/>
            <w:vAlign w:val="center"/>
          </w:tcPr>
          <w:p w14:paraId="264C41F7">
            <w:pPr>
              <w:spacing w:line="440" w:lineRule="exact"/>
              <w:jc w:val="center"/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内容详实、表述得当</w:t>
            </w:r>
          </w:p>
          <w:p w14:paraId="568B563A">
            <w:pPr>
              <w:spacing w:line="440" w:lineRule="exact"/>
              <w:jc w:val="center"/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（20分）</w:t>
            </w:r>
          </w:p>
        </w:tc>
        <w:tc>
          <w:tcPr>
            <w:tcW w:w="6379" w:type="dxa"/>
            <w:vAlign w:val="center"/>
          </w:tcPr>
          <w:p w14:paraId="3A77E36F">
            <w:pPr>
              <w:spacing w:line="440" w:lineRule="exact"/>
              <w:jc w:val="left"/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突出</w:t>
            </w:r>
            <w:r>
              <w:rPr>
                <w:rFonts w:hint="eastAsia" w:ascii="仿宋_GB2312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“五老”人物事迹，强调故事性和细节描述，以“五老”的个体经历反映出中国特色社会主义教育事业取得的</w:t>
            </w:r>
            <w:r>
              <w:rPr>
                <w:rFonts w:hint="eastAsia" w:ascii="仿宋_GB2312" w:hAnsi="Times New Roman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伟大成就</w:t>
            </w:r>
            <w:r>
              <w:rPr>
                <w:rFonts w:hint="eastAsia" w:ascii="仿宋_GB2312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，切忌写成“五老”个人简历。根据文章实际情况酌情赋分</w:t>
            </w:r>
            <w:r>
              <w:rPr>
                <w:rFonts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4A9295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  <w:jc w:val="center"/>
        </w:trPr>
        <w:tc>
          <w:tcPr>
            <w:tcW w:w="3214" w:type="dxa"/>
            <w:vAlign w:val="center"/>
          </w:tcPr>
          <w:p w14:paraId="1D6ABE1D">
            <w:pPr>
              <w:spacing w:line="440" w:lineRule="exact"/>
              <w:jc w:val="center"/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语言优美、文笔流畅</w:t>
            </w:r>
          </w:p>
          <w:p w14:paraId="230C17EF">
            <w:pPr>
              <w:spacing w:line="440" w:lineRule="exact"/>
              <w:jc w:val="center"/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（20分）</w:t>
            </w:r>
          </w:p>
        </w:tc>
        <w:tc>
          <w:tcPr>
            <w:tcW w:w="6379" w:type="dxa"/>
            <w:vAlign w:val="center"/>
          </w:tcPr>
          <w:p w14:paraId="21FEE48C">
            <w:pPr>
              <w:spacing w:line="440" w:lineRule="exact"/>
              <w:jc w:val="left"/>
              <w:rPr>
                <w:rFonts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根据文章实际情况酌情赋分。</w:t>
            </w:r>
          </w:p>
        </w:tc>
      </w:tr>
      <w:tr w14:paraId="219F46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  <w:jc w:val="center"/>
        </w:trPr>
        <w:tc>
          <w:tcPr>
            <w:tcW w:w="3214" w:type="dxa"/>
            <w:vAlign w:val="center"/>
          </w:tcPr>
          <w:p w14:paraId="7481ADAD">
            <w:pPr>
              <w:spacing w:line="440" w:lineRule="exact"/>
              <w:jc w:val="center"/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情感真实、表达细腻</w:t>
            </w:r>
          </w:p>
          <w:p w14:paraId="2DF0AE4D">
            <w:pPr>
              <w:spacing w:line="440" w:lineRule="exact"/>
              <w:jc w:val="center"/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（20分）</w:t>
            </w:r>
          </w:p>
        </w:tc>
        <w:tc>
          <w:tcPr>
            <w:tcW w:w="6379" w:type="dxa"/>
            <w:vAlign w:val="center"/>
          </w:tcPr>
          <w:p w14:paraId="055B7B8B">
            <w:pPr>
              <w:spacing w:line="440" w:lineRule="exact"/>
              <w:jc w:val="left"/>
              <w:rPr>
                <w:rFonts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根据文章实际情况酌情赋分。</w:t>
            </w:r>
          </w:p>
        </w:tc>
      </w:tr>
      <w:tr w14:paraId="321C84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0" w:hRule="atLeast"/>
          <w:jc w:val="center"/>
        </w:trPr>
        <w:tc>
          <w:tcPr>
            <w:tcW w:w="3214" w:type="dxa"/>
            <w:vAlign w:val="center"/>
          </w:tcPr>
          <w:p w14:paraId="765FC55B">
            <w:pPr>
              <w:spacing w:line="440" w:lineRule="exact"/>
              <w:jc w:val="left"/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文体合规、用字规范</w:t>
            </w:r>
          </w:p>
          <w:p w14:paraId="53232ABF">
            <w:pPr>
              <w:spacing w:line="440" w:lineRule="exact"/>
              <w:jc w:val="center"/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（10分）</w:t>
            </w:r>
          </w:p>
        </w:tc>
        <w:tc>
          <w:tcPr>
            <w:tcW w:w="6379" w:type="dxa"/>
            <w:vAlign w:val="center"/>
          </w:tcPr>
          <w:p w14:paraId="072BB071">
            <w:pPr>
              <w:spacing w:line="440" w:lineRule="exact"/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文体为记叙文，字数不超过2000字。文体有误或字数超过2400字即此项为0分，字数在2001</w:t>
            </w:r>
            <w:r>
              <w:rPr>
                <w:rFonts w:hint="eastAsia" w:ascii="仿宋_GB2312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2400字之间或出现不规范用字的酌情扣分。</w:t>
            </w:r>
          </w:p>
        </w:tc>
      </w:tr>
    </w:tbl>
    <w:p w14:paraId="0B0ECF29">
      <w:pPr>
        <w:rPr>
          <w:rFonts w:ascii="Times New Roman" w:hAnsi="Times New Roman" w:eastAsia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二、微视频评审标准（总分100分）</w:t>
      </w:r>
    </w:p>
    <w:tbl>
      <w:tblPr>
        <w:tblStyle w:val="4"/>
        <w:tblW w:w="959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2"/>
        <w:gridCol w:w="6621"/>
      </w:tblGrid>
      <w:tr w14:paraId="28AD5A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  <w:vAlign w:val="center"/>
          </w:tcPr>
          <w:p w14:paraId="522E1689">
            <w:pPr>
              <w:spacing w:line="420" w:lineRule="exact"/>
              <w:jc w:val="center"/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主题表达</w:t>
            </w:r>
          </w:p>
          <w:p w14:paraId="4D2359EA">
            <w:pPr>
              <w:spacing w:line="420" w:lineRule="exact"/>
              <w:jc w:val="center"/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（30分）</w:t>
            </w:r>
          </w:p>
        </w:tc>
        <w:tc>
          <w:tcPr>
            <w:tcW w:w="6621" w:type="dxa"/>
          </w:tcPr>
          <w:p w14:paraId="603D3F2C">
            <w:pPr>
              <w:spacing w:line="420" w:lineRule="exact"/>
              <w:rPr>
                <w:rFonts w:ascii="仿宋_GB2312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记录、展示“五老”在推进强国建设、民族复兴伟业历史进程中，在从教育大国阔步迈向教育强国过程中的感人事迹、人生体验和所体现的改革创新精神和教育家精神，以及对青年学生积极投身强国建设的重托和建议。突出“五老”人物事迹，强调故事性和细节描述，以“五老”的个体经历反映出中国特色社会主义教育事业取得的</w:t>
            </w:r>
            <w:r>
              <w:rPr>
                <w:rFonts w:hint="eastAsia" w:ascii="仿宋_GB2312" w:hAnsi="Times New Roman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伟大成就</w:t>
            </w:r>
            <w:r>
              <w:rPr>
                <w:rFonts w:hint="eastAsia" w:ascii="仿宋_GB2312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。切忌拍摄成“五老”个人简历。根据片子实际情况酌情赋分。</w:t>
            </w:r>
          </w:p>
        </w:tc>
      </w:tr>
      <w:tr w14:paraId="63D912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  <w:jc w:val="center"/>
        </w:trPr>
        <w:tc>
          <w:tcPr>
            <w:tcW w:w="2972" w:type="dxa"/>
            <w:vAlign w:val="center"/>
          </w:tcPr>
          <w:p w14:paraId="1D7C2A3D">
            <w:pPr>
              <w:spacing w:line="420" w:lineRule="exact"/>
              <w:jc w:val="center"/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结构设置</w:t>
            </w:r>
          </w:p>
          <w:p w14:paraId="3F6D3104">
            <w:pPr>
              <w:spacing w:line="420" w:lineRule="exact"/>
              <w:jc w:val="center"/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（20分）</w:t>
            </w:r>
          </w:p>
        </w:tc>
        <w:tc>
          <w:tcPr>
            <w:tcW w:w="6621" w:type="dxa"/>
          </w:tcPr>
          <w:p w14:paraId="5AFE2B89">
            <w:pPr>
              <w:spacing w:line="420" w:lineRule="exact"/>
              <w:rPr>
                <w:rFonts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结构明确、逻辑清晰，悬念设置巧妙且自然，能够突出主题、吸引观众。根据片子实际情况酌情赋分。</w:t>
            </w:r>
          </w:p>
        </w:tc>
      </w:tr>
      <w:tr w14:paraId="394829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  <w:vAlign w:val="center"/>
          </w:tcPr>
          <w:p w14:paraId="19B0D30D">
            <w:pPr>
              <w:spacing w:line="440" w:lineRule="exact"/>
              <w:jc w:val="center"/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细节和节奏</w:t>
            </w:r>
          </w:p>
          <w:p w14:paraId="2F9D4CE6">
            <w:pPr>
              <w:spacing w:line="440" w:lineRule="exact"/>
              <w:jc w:val="center"/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（20分）</w:t>
            </w:r>
          </w:p>
        </w:tc>
        <w:tc>
          <w:tcPr>
            <w:tcW w:w="6621" w:type="dxa"/>
          </w:tcPr>
          <w:p w14:paraId="409BEFB7">
            <w:pPr>
              <w:spacing w:line="440" w:lineRule="exact"/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把握好叙事节奏和剪辑节奏的和谐统一，达到疏密相间、张弛有度、跌宕起伏。细节运用真实生动，有较强的艺术感染力；画面构图、特效、字幕、片头片尾、转场等包装处理得当。根据片子实际情况酌情赋分。</w:t>
            </w:r>
          </w:p>
        </w:tc>
      </w:tr>
      <w:tr w14:paraId="741501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  <w:vAlign w:val="center"/>
          </w:tcPr>
          <w:p w14:paraId="206754CA">
            <w:pPr>
              <w:spacing w:line="440" w:lineRule="exact"/>
              <w:jc w:val="center"/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电视语言表达</w:t>
            </w:r>
          </w:p>
          <w:p w14:paraId="372C7CDC">
            <w:pPr>
              <w:spacing w:line="440" w:lineRule="exact"/>
              <w:jc w:val="center"/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（20分）</w:t>
            </w:r>
          </w:p>
        </w:tc>
        <w:tc>
          <w:tcPr>
            <w:tcW w:w="6621" w:type="dxa"/>
          </w:tcPr>
          <w:p w14:paraId="40BED598">
            <w:pPr>
              <w:spacing w:line="440" w:lineRule="exact"/>
              <w:rPr>
                <w:rFonts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画面语言生动且富有特色，能够吸引观众眼球、表达出拍摄主体的内在情绪、心理及表现行为等；解说词为画面服务，且起到补充和升华主题的作用；现场采访出现时间合适、突出故事细节、思想表达传递，且有对主题阐释等作用，能够很好地渲染影片；字幕语言能够调动观众兴趣，令人印象深刻。根据片子实际情况酌情赋分，电视语言单一，无法讲清事件，无法使观众明白要表达的内容和思想感情的酌情扣分。</w:t>
            </w:r>
          </w:p>
          <w:p w14:paraId="06F1ED78">
            <w:pPr>
              <w:spacing w:line="440" w:lineRule="exact"/>
              <w:rPr>
                <w:rFonts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</w:tc>
      </w:tr>
      <w:tr w14:paraId="62E9F9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  <w:vAlign w:val="center"/>
          </w:tcPr>
          <w:p w14:paraId="64EB8BE5">
            <w:pPr>
              <w:spacing w:line="440" w:lineRule="exact"/>
              <w:jc w:val="center"/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剪辑和时长</w:t>
            </w:r>
          </w:p>
          <w:p w14:paraId="3B62C24F">
            <w:pPr>
              <w:spacing w:line="440" w:lineRule="exact"/>
              <w:jc w:val="center"/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（10分）</w:t>
            </w:r>
          </w:p>
        </w:tc>
        <w:tc>
          <w:tcPr>
            <w:tcW w:w="6621" w:type="dxa"/>
          </w:tcPr>
          <w:p w14:paraId="56C51CAD">
            <w:pPr>
              <w:spacing w:line="420" w:lineRule="exact"/>
              <w:rPr>
                <w:rFonts w:ascii="Times New Roman" w:hAnsi="Times New Roman" w:eastAsia="仿宋_GB2312"/>
                <w:color w:val="000000" w:themeColor="text1"/>
                <w:spacing w:val="-3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pacing w:val="-3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提前设计好影片结构；镜头衔接自然流畅，起承转合符合整体结构设计和剪辑节奏，有自己的风格特色，思想表达独树一格。根据片子实际情况酌情赋分，如出现跳帧、黑屏等重大技术失误，或时长超过6分钟、不足4分钟的，该项即为0分。</w:t>
            </w:r>
            <w:r>
              <w:rPr>
                <w:rFonts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根据片子实际情况酌情赋分。</w:t>
            </w:r>
          </w:p>
        </w:tc>
      </w:tr>
    </w:tbl>
    <w:p w14:paraId="451E4F74">
      <w:pPr>
        <w:spacing w:line="100" w:lineRule="exact"/>
        <w:rPr>
          <w:rFonts w:ascii="Times New Roman" w:hAnsi="Times New Roman" w:eastAsia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6DAEAC9">
      <w:pPr>
        <w:rPr>
          <w:rFonts w:ascii="Times New Roman" w:hAnsi="Times New Roman" w:eastAsia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三、</w:t>
      </w:r>
      <w:r>
        <w:rPr>
          <w:rFonts w:ascii="Times New Roman" w:hAnsi="Times New Roman" w:eastAsia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舞台剧评审标准（总分100分）</w:t>
      </w:r>
    </w:p>
    <w:tbl>
      <w:tblPr>
        <w:tblStyle w:val="4"/>
        <w:tblW w:w="9765" w:type="dxa"/>
        <w:tblInd w:w="-64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52"/>
        <w:gridCol w:w="6713"/>
      </w:tblGrid>
      <w:tr w14:paraId="70E949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9" w:hRule="atLeast"/>
        </w:trPr>
        <w:tc>
          <w:tcPr>
            <w:tcW w:w="3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6DEC1A">
            <w:pPr>
              <w:spacing w:line="440" w:lineRule="exact"/>
              <w:jc w:val="center"/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主题表达</w:t>
            </w:r>
          </w:p>
          <w:p w14:paraId="1F075513">
            <w:pPr>
              <w:spacing w:line="440" w:lineRule="exact"/>
              <w:jc w:val="center"/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（30分）</w:t>
            </w:r>
          </w:p>
        </w:tc>
        <w:tc>
          <w:tcPr>
            <w:tcW w:w="6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577325">
            <w:pPr>
              <w:spacing w:line="420" w:lineRule="exact"/>
              <w:rPr>
                <w:rFonts w:ascii="仿宋_GB2312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记录、展示“五老”在推进强国建设、民族复兴伟业历史进程中，在从教育大国阔步迈向教育强国过程中的感人事迹、人生体验和所体现的改革创新精神和教育家精神，以及对青年学生积极投身强国建设的重托和建议。主题鲜明，贴近生活，有深度，引起观众共鸣。若偏题酌情扣分。</w:t>
            </w:r>
          </w:p>
        </w:tc>
      </w:tr>
      <w:tr w14:paraId="3EE24D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3" w:hRule="atLeast"/>
        </w:trPr>
        <w:tc>
          <w:tcPr>
            <w:tcW w:w="3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C6E4B1">
            <w:pPr>
              <w:spacing w:line="440" w:lineRule="exact"/>
              <w:jc w:val="center"/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内容设置</w:t>
            </w:r>
          </w:p>
          <w:p w14:paraId="2940260E">
            <w:pPr>
              <w:spacing w:line="440" w:lineRule="exact"/>
              <w:jc w:val="center"/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（20分）</w:t>
            </w:r>
          </w:p>
        </w:tc>
        <w:tc>
          <w:tcPr>
            <w:tcW w:w="6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00B311">
            <w:pPr>
              <w:spacing w:line="420" w:lineRule="exact"/>
              <w:rPr>
                <w:rFonts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基于人物事迹，从小点切入，以小见大；剧情编排合理，情节跌宕起伏，矛盾冲突明显；幕与幕之间转换适当。根据剧情设计酌情赋分。</w:t>
            </w:r>
          </w:p>
        </w:tc>
      </w:tr>
      <w:tr w14:paraId="40EC42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9" w:hRule="atLeast"/>
        </w:trPr>
        <w:tc>
          <w:tcPr>
            <w:tcW w:w="3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CB7A30">
            <w:pPr>
              <w:spacing w:line="440" w:lineRule="exact"/>
              <w:jc w:val="center"/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舞台表演</w:t>
            </w:r>
          </w:p>
          <w:p w14:paraId="3B1B32B8">
            <w:pPr>
              <w:spacing w:line="440" w:lineRule="exact"/>
              <w:jc w:val="center"/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（20分）</w:t>
            </w:r>
          </w:p>
        </w:tc>
        <w:tc>
          <w:tcPr>
            <w:tcW w:w="6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7587ED">
            <w:pPr>
              <w:spacing w:line="420" w:lineRule="exact"/>
              <w:rPr>
                <w:rFonts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突出艺术设计与表现力，主题表现清晰，人物性格表现充分，动作得体到位，情感细腻有共鸣，团体合作默契。根据表演酌情赋分。</w:t>
            </w:r>
          </w:p>
        </w:tc>
      </w:tr>
      <w:tr w14:paraId="21217C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</w:trPr>
        <w:tc>
          <w:tcPr>
            <w:tcW w:w="3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C892D1">
            <w:pPr>
              <w:spacing w:line="440" w:lineRule="exact"/>
              <w:jc w:val="center"/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舞台呈现</w:t>
            </w:r>
          </w:p>
          <w:p w14:paraId="23B52D13">
            <w:pPr>
              <w:spacing w:line="440" w:lineRule="exact"/>
              <w:jc w:val="center"/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（20分）</w:t>
            </w:r>
          </w:p>
        </w:tc>
        <w:tc>
          <w:tcPr>
            <w:tcW w:w="6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8F00E0">
            <w:pPr>
              <w:spacing w:line="420" w:lineRule="exact"/>
              <w:rPr>
                <w:rFonts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服装符合人物身份特点、合体大方，饰物搭配得当，辅助表现人物性格、剧情效果等；场景布置及道具安排准确反映剧目表达内容及环境。根据视觉效果酌情赋分。</w:t>
            </w:r>
          </w:p>
        </w:tc>
      </w:tr>
      <w:tr w14:paraId="40EDC6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B010FC">
            <w:pPr>
              <w:spacing w:line="440" w:lineRule="exact"/>
              <w:jc w:val="center"/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视频录制</w:t>
            </w:r>
          </w:p>
          <w:p w14:paraId="298858C8">
            <w:pPr>
              <w:spacing w:line="440" w:lineRule="exact"/>
              <w:jc w:val="center"/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（10分）</w:t>
            </w:r>
          </w:p>
        </w:tc>
        <w:tc>
          <w:tcPr>
            <w:tcW w:w="6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C2C433">
            <w:pPr>
              <w:spacing w:line="420" w:lineRule="exact"/>
              <w:rPr>
                <w:rFonts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通过切换台进行多机位录制，有不同景别的搭配（远景、全景、中景、近景、特写）；配戴无线话筒对演员进行收音，且声音清晰；背景音乐符合剧情及气氛需要。根据视频呈现酌情赋分。</w:t>
            </w:r>
          </w:p>
        </w:tc>
      </w:tr>
    </w:tbl>
    <w:p w14:paraId="7AE171D9"/>
    <w:sectPr>
      <w:footerReference r:id="rId3" w:type="default"/>
      <w:pgSz w:w="11906" w:h="16838"/>
      <w:pgMar w:top="2064" w:right="1800" w:bottom="189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993BC8">
    <w:pPr>
      <w:pStyle w:val="2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2720340</wp:posOffset>
              </wp:positionH>
              <wp:positionV relativeFrom="paragraph">
                <wp:posOffset>-1905</wp:posOffset>
              </wp:positionV>
              <wp:extent cx="259080" cy="274320"/>
              <wp:effectExtent l="0" t="0" r="7620" b="1143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9080" cy="2743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D6D6C9">
                          <w:pPr>
                            <w:ind w:right="420"/>
                            <w:jc w:val="right"/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13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4.2pt;margin-top:-0.15pt;height:21.6pt;width:20.4pt;mso-position-horizontal-relative:margin;z-index:251659264;mso-width-relative:page;mso-height-relative:page;" filled="f" stroked="f" coordsize="21600,21600" o:gfxdata="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ydbuZ1wAAAAgBAAAPAAAAAAAAAAEAIAAAACIAAABkcnMvZG93bnJldi54bWxQ&#10;SwECFAAUAAAACACHTuJAMAg4LjECAABVBAAADgAAAAAAAAABACAAAAAm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73D6D6C9">
                    <w:pPr>
                      <w:ind w:right="420"/>
                      <w:jc w:val="right"/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13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D3E"/>
    <w:rsid w:val="00273D3E"/>
    <w:rsid w:val="00C46A54"/>
    <w:rsid w:val="7AA20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customStyle="1" w:styleId="6">
    <w:name w:val="页脚 字符"/>
    <w:basedOn w:val="5"/>
    <w:link w:val="2"/>
    <w:qFormat/>
    <w:uiPriority w:val="99"/>
    <w:rPr>
      <w:sz w:val="18"/>
      <w:szCs w:val="18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1494</Words>
  <Characters>1529</Characters>
  <Lines>11</Lines>
  <Paragraphs>3</Paragraphs>
  <TotalTime>3</TotalTime>
  <ScaleCrop>false</ScaleCrop>
  <LinksUpToDate>false</LinksUpToDate>
  <CharactersWithSpaces>1529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2025-04-14T06:26:00Z</dcterms:created>
  <dc:creator>Dell</dc:creator>
  <cp:lastModifiedBy>蹿天小炕鸡</cp:lastModifiedBy>
  <dcterms:modified xsi:type="dcterms:W3CDTF">2025-04-14T06:50:47Z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eyJoZGlkIjoiMTgyMTVmYjQ4M2NmNjNlNGZhNWQyYzU2N2NjZjExZjgiLCJ1c2VySWQiOiI1MTkyNzU4NTEifQ==</vt:lpwstr>
  </property>
  <property fmtid="{D5CDD505-2E9C-101B-9397-08002B2CF9AE}" pid="3" name="KSOProductBuildVer">
    <vt:lpwstr>2052-12.1.0.20784</vt:lpwstr>
  </property>
  <property fmtid="{D5CDD505-2E9C-101B-9397-08002B2CF9AE}" pid="4" name="ICV">
    <vt:lpwstr>43C800AED753400C9ACEBA84AA807357_13</vt:lpwstr>
  </property>
</Properties>
</file>